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60" w:line="256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</w:t>
        <w:br w:type="textWrapping"/>
        <w:t xml:space="preserve"> (PAECT)</w:t>
      </w: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before="60" w:line="256" w:lineRule="auto"/>
        <w:ind w:left="0" w:hanging="2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0" w:line="256" w:lineRule="auto"/>
        <w:ind w:left="0" w:hanging="2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no SUAP)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1"/>
        <w:tblW w:w="9739.0" w:type="dxa"/>
        <w:jc w:val="left"/>
        <w:tblInd w:w="-1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235"/>
        <w:gridCol w:w="525"/>
        <w:gridCol w:w="690"/>
        <w:gridCol w:w="450"/>
        <w:gridCol w:w="2839"/>
        <w:tblGridChange w:id="0">
          <w:tblGrid>
            <w:gridCol w:w="5235"/>
            <w:gridCol w:w="525"/>
            <w:gridCol w:w="690"/>
            <w:gridCol w:w="450"/>
            <w:gridCol w:w="28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FORMULÁRIO DE SOLICITAÇÃO DE AUXÍLIO PARA PARTICIPAÇÃO EM EVENTO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do(a) solicitante: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do(a) Estudante: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evento: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Site do evento: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edição do evento: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Periodicidade: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Abrangência do evento (MÁXIMO DE 20 PONTOS)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 Consolidação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Categorias/ Definições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(Até 20 pontos)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de uma a três edições, bianuais com uma ou duas edições e trianuais com uma ou duas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 Abrangência (De acordo com as definições descritas ao final deste Anexo)                  </w:t>
              <w:tab/>
              <w:t xml:space="preserve">(MÁXIMO DE 20 PONTOS)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Categorias/Definições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internacional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Nacional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Regional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Estadual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Local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 sem caracterização quanto à abrangência.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Tipo de apresentação (MÁXIMO DE 20 PONTOS)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Oral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Pôster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Tipo de publicação (MÁXIMO DE 40 PONTOS)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Resumo estendido em anais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E. Histórico Escolar: (MÁXIMO DE 20 PONTOS)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2xCRA</w:t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pontuação referente ao Histórico Escolar será determinada pelo produto do Coeficiente de Rendimento Acadêmico (CRA) por 2 (dois).</w:t>
            </w:r>
          </w:p>
          <w:p w:rsidR="00000000" w:rsidDel="00000000" w:rsidP="00000000" w:rsidRDefault="00000000" w:rsidRPr="00000000" w14:paraId="000000E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*Adotar CRA igual a 6,0 (seis) no caso do estudante ainda não ter o primeiro ano/semestre completo.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(Máximo de 100 pontos) - Soma dos Subtotais (A+B+C+D+E)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do(a) proponente: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do(a) Estudante: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1">
            <w:pPr>
              <w:spacing w:before="60" w:lineRule="auto"/>
              <w:ind w:left="1" w:hanging="3"/>
              <w:jc w:val="left"/>
              <w:rPr>
                <w:b w:val="1"/>
                <w:color w:val="1f497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A">
      <w:pPr>
        <w:spacing w:before="60" w:lineRule="auto"/>
        <w:ind w:left="1" w:hanging="3"/>
        <w:jc w:val="center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before="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60" w:lineRule="auto"/>
        <w:ind w:left="0" w:hanging="2"/>
        <w:rPr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94" w:top="1021" w:left="1304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spacing w:after="0" w:before="18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Av. Assis Chateaubriand, nº 1.658, Setor Oeste. CEP: 74.130-012. Goiânia-GO</w:t>
    </w:r>
  </w:p>
  <w:p w:rsidR="00000000" w:rsidDel="00000000" w:rsidP="00000000" w:rsidRDefault="00000000" w:rsidRPr="00000000" w14:paraId="00000129">
    <w:pPr>
      <w:spacing w:after="0" w:lineRule="auto"/>
      <w:ind w:left="0" w:hanging="2"/>
      <w:jc w:val="center"/>
      <w:rPr/>
    </w:pPr>
    <w:r w:rsidDel="00000000" w:rsidR="00000000" w:rsidRPr="00000000">
      <w:rPr>
        <w:color w:val="009900"/>
        <w:sz w:val="17"/>
        <w:szCs w:val="17"/>
        <w:rtl w:val="0"/>
      </w:rPr>
      <w:t xml:space="preserve">Fone: (62) 3612-2233 E-mail: proppg@ifg.edu.br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Square wrapText="bothSides" distB="0" distT="0" distL="0" distR="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Square wrapText="bothSides" distB="0" distT="0" distL="0" distR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75" cy="310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Square wrapText="bothSides" distB="0" distT="0" distL="0" distR="0"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Square wrapText="bothSides" distB="0" distT="0" distL="0" distR="0"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68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-286383</wp:posOffset>
          </wp:positionH>
          <wp:positionV relativeFrom="paragraph">
            <wp:posOffset>-171448</wp:posOffset>
          </wp:positionV>
          <wp:extent cx="1923415" cy="641985"/>
          <wp:effectExtent b="0" l="0" r="0" t="0"/>
          <wp:wrapSquare wrapText="bothSides" distB="0" distT="0" distL="114935" distR="114935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5biaMqOD+GhMJUyO2xjDMy+2w==">CgMxLjAyCWguMWZvYjl0ZTgAciExX0xaTVl6TFg5LWt1TjlnUmo0QXNYZ1U3bGNRdDdWNWg=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2022-03-28T16:06:00Z</dcterms:created>
  <dc:creator>gabinete</dc:creator>
</cp:coreProperties>
</file>